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4.png" ContentType="image/png"/>
  <Override PartName="/word/media/rId32.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1900</w:t>
      </w:r>
      <w:r>
        <w:t xml:space="preserve"> </w:t>
      </w:r>
      <w:r>
        <w:t xml:space="preserve">(Rohde &amp; Hausfather, 2020)</w:t>
      </w:r>
      <w:r>
        <w:t xml:space="preserve"> </w:t>
      </w:r>
      <w:r>
        <w:t xml:space="preserve">and are expected to rise a</w:t>
      </w:r>
      <w:r>
        <w:t xml:space="preserve"> </w:t>
      </w:r>
      <m:oMath>
        <m:r>
          <m:t>1.6</m:t>
        </m:r>
        <m:r>
          <m:t>−</m:t>
        </m:r>
        <m:sSup>
          <m:e>
            <m:r>
              <m:t>4.3</m:t>
            </m:r>
          </m:e>
          <m:sup>
            <m:r>
              <m:t>∘</m:t>
            </m:r>
          </m:sup>
        </m:sSup>
      </m:oMath>
      <w:r>
        <w:t xml:space="preserve">C above pre-industrial levels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w:t>
      </w:r>
      <w:r>
        <w:t xml:space="preserve">; IPBES report], including altered rates of photosynthesis and respiration</w:t>
      </w:r>
      <w:r>
        <w:t xml:space="preserve"> </w:t>
      </w:r>
      <w:r>
        <w:t xml:space="preserve">(Breshears</w:t>
      </w:r>
      <w:r>
        <w:t xml:space="preserve"> </w:t>
      </w:r>
      <w:r>
        <w:rPr>
          <w:i/>
        </w:rPr>
        <w:t xml:space="preserve">et al.</w:t>
      </w:r>
      <w:r>
        <w:t xml:space="preserve">, 2021; Corlett, 2011)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 2021; McDowell</w:t>
      </w:r>
      <w:r>
        <w:t xml:space="preserve"> </w:t>
      </w:r>
      <w:r>
        <w:rPr>
          <w:i/>
        </w:rPr>
        <w:t xml:space="preserve">et al.</w:t>
      </w:r>
      <w:r>
        <w:t xml:space="preserve">, 2020; Rollinson</w:t>
      </w:r>
      <w:r>
        <w:t xml:space="preserve"> </w:t>
      </w:r>
      <w:r>
        <w:rPr>
          <w:i/>
        </w:rPr>
        <w:t xml:space="preserve">et al.</w:t>
      </w:r>
      <w:r>
        <w:t xml:space="preserve">)</w:t>
      </w:r>
      <w:r>
        <w:t xml:space="preserve">. Collectively, these impacts may lead to reduced forest carbon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carbon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containg trees of different sizes along various successional stages.</w:t>
      </w:r>
      <w:r>
        <w:t xml:space="preserve"> </w:t>
      </w:r>
      <w:r>
        <w:t xml:space="preserve">Overstory trees form canopies that play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understory microclimates by buffering extreme temperatures, solar insolation, wind, and other meteorological conditions</w:t>
      </w:r>
      <w:r>
        <w:t xml:space="preserve"> </w:t>
      </w:r>
      <w:r>
        <w:t xml:space="preserve">(Zellweger</w:t>
      </w:r>
      <w:r>
        <w:t xml:space="preserve"> </w:t>
      </w:r>
      <w:r>
        <w:rPr>
          <w:i/>
        </w:rPr>
        <w:t xml:space="preserve">et al.</w:t>
      </w:r>
      <w:r>
        <w:t xml:space="preserve">, 2019)</w:t>
      </w:r>
      <w:r>
        <w:t xml:space="preserve">. 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rPr>
          <w:b/>
        </w:rP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metabolism;</w:t>
      </w:r>
      <w:r>
        <w:t xml:space="preserve"> </w:t>
      </w:r>
      <w:r>
        <w:t xml:space="preserve">(4) leaf metabolism, including stomatal conductance, photosynthesis, respiration, and volatile organic compound (VOC) production; and</w:t>
      </w:r>
      <w:r>
        <w:t xml:space="preserve"> </w:t>
      </w:r>
      <w:r>
        <w:t xml:space="preserve">(5) the size-structuring of whole-tree and ecosystem function.</w:t>
      </w:r>
      <w:r>
        <w:t xml:space="preserve"> </w:t>
      </w:r>
      <w:r>
        <w:rPr>
          <w:i/>
        </w:rPr>
        <w:t xml:space="preserve">We then consider the implications for understanding forest responses to global change, including how these responses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w:t>
      </w:r>
      <w:r>
        <w:t xml:space="preserve"> </w:t>
      </w:r>
      <w:hyperlink r:id="rId23">
        <w:r>
          <w:rPr>
            <w:rStyle w:val="Hyperlink"/>
          </w:rPr>
          <w:t xml:space="preserve">Issue #27</w:t>
        </w:r>
      </w:hyperlink>
      <w:r>
        <w:t xml:space="preserve">.</w:t>
      </w:r>
    </w:p>
    <w:bookmarkEnd w:id="24"/>
    <w:bookmarkStart w:id="256"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w:t>
      </w:r>
      <w:r>
        <w:t xml:space="preserve"> </w:t>
      </w:r>
      <w:r>
        <w:t xml:space="preserve">(NEON; Figs. 2-S1; Supporting Information Methods S1, Schimel</w:t>
      </w:r>
      <w:r>
        <w:t xml:space="preserve"> </w:t>
      </w:r>
      <w:r>
        <w:rPr>
          <w:i/>
        </w:rPr>
        <w:t xml:space="preserve">et al.</w:t>
      </w:r>
      <w:r>
        <w:t xml:space="preserve">, 2007)</w:t>
      </w:r>
      <w:r>
        <w:t xml:space="preserve">.</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sites six US forest sites with contrasting forest structures in the National Ecological Observatory Network (NEON). Height profiles from the growing season are shown for: (a) leaf area density, (b) proportion of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six US forest sites with contrasting forest structures in the National Ecological Observatory Network (NEON)</w:t>
      </w:r>
      <w:r>
        <w:t xml:space="preserve">. Height profiles from the growing season are shown for: (a) leaf area density, (b) proportion of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and tree architecture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 and further influence the formation of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 Parker</w:t>
      </w:r>
      <w:r>
        <w:t xml:space="preserve"> </w:t>
      </w:r>
      <w:r>
        <w:rPr>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rPr>
          <w:b/>
        </w:rPr>
        <w:t xml:space="preserve">Light, specifically the proportion of incident light and photosynthetically active radiation (PAR), decreases from the canopy top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Figs. 2d, S1, Aussenac, 2000; Chazdon &amp; Fetcher, 1984; Baldocchi</w:t>
      </w:r>
      <w:r>
        <w:t xml:space="preserve"> </w:t>
      </w:r>
      <w:r>
        <w:rPr>
          <w:i/>
        </w:rPr>
        <w:t xml:space="preserve">et al.</w:t>
      </w:r>
      <w:r>
        <w:t xml:space="preserve">, 1997; Smith</w:t>
      </w:r>
      <w:r>
        <w:t xml:space="preserve"> </w:t>
      </w:r>
      <w:r>
        <w:rPr>
          <w:i/>
        </w:rPr>
        <w:t xml:space="preserve">et al.</w:t>
      </w:r>
      <w:r>
        <w:t xml:space="preserve">, 2019; Bartemucci</w:t>
      </w:r>
      <w:r>
        <w:t xml:space="preserve"> </w:t>
      </w:r>
      <w:r>
        <w:rPr>
          <w:i/>
        </w:rPr>
        <w:t xml:space="preserve">et al.</w:t>
      </w:r>
      <w:r>
        <w:t xml:space="preserve">, 2006; Tymen</w:t>
      </w:r>
      <w:r>
        <w:t xml:space="preserve"> </w:t>
      </w:r>
      <w:r>
        <w:rPr>
          <w:i/>
        </w:rPr>
        <w:t xml:space="preserve">et al.</w:t>
      </w:r>
      <w:r>
        <w:t xml:space="preserve">, 2017;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buffering effect of the canopy</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speeds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vertical profile than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both water and heat loss (see section</w:t>
      </w:r>
      <w:r>
        <w:t xml:space="preserve"> </w:t>
      </w:r>
      <w:r>
        <w:t xml:space="preserve">“</w:t>
      </w:r>
      <w:r>
        <w:t xml:space="preserve">Leaf temperature</w:t>
      </w:r>
      <w:r>
        <w:t xml:space="preserve">”</w:t>
      </w:r>
      <w:r>
        <w:t xml:space="preserve">).</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the upper 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adjusting to their environment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cooler than the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on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Generally, the dominant avenue of heat loss to the environment is latent heat flux, wherein the loss of energy required to convert water from a liquid to a vapour state during evaporation and transpiration cools the leaf.</w:t>
      </w:r>
      <w:r>
        <w:t xml:space="preserve"> </w:t>
      </w:r>
      <w:r>
        <w:t xml:space="preserve">Latent heat flux (</w:t>
      </w:r>
      <m:oMath>
        <m:r>
          <m:t>λ</m:t>
        </m:r>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increases with VPD,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(influenced by VPD and photosynthetic CO</w:t>
      </w:r>
      <w:r>
        <w:rPr>
          <w:vertAlign w:val="subscript"/>
        </w:rPr>
        <w:t xml:space="preserve">2</w:t>
      </w:r>
      <w:r>
        <w:t xml:space="preserve"> </w:t>
      </w:r>
      <w:r>
        <w:t xml:space="preserve">demand) exceeds the rate of supply, conservation of water (</w:t>
      </w:r>
      <m:oMath>
        <m:sSub>
          <m:e>
            <m:r>
              <m:t>g</m:t>
            </m:r>
          </m:e>
          <m:sub>
            <m:r>
              <m:t>s</m:t>
            </m:r>
          </m:sub>
        </m:sSub>
      </m:oMath>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but during</w:t>
      </w:r>
      <w:r>
        <w:t xml:space="preserve"> </w:t>
      </w:r>
      <m:oMath>
        <m:sSub>
          <m:e>
            <m:r>
              <m:t>g</m:t>
            </m:r>
          </m:e>
          <m:sub>
            <m:r>
              <m:t>s</m:t>
            </m:r>
          </m:sub>
        </m:sSub>
      </m:oMath>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w:r>
        <w:t xml:space="preserve"> </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w:t>
      </w:r>
      <w:r>
        <w:t xml:space="preserve"> </w:t>
      </w:r>
      <m:oMath>
        <m:sSup>
          <m:e>
            <m:r>
              <m:t>4</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mediate the direct effects of solar radiation on upper canopy leaves (Fig. 3a) and result in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w:r>
        <w:t xml:space="preserve">Closed canopies with high LAI act as an umbrella, absorbing most of the incoming radiation and preventing vertical air mixing in the understory.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lower canopies layers</w:t>
      </w:r>
      <w:r>
        <w:t xml:space="preserve"> </w:t>
      </w:r>
      <w:r>
        <w:t xml:space="preserve">(Miller</w:t>
      </w:r>
      <w:r>
        <w:t xml:space="preserve"> </w:t>
      </w:r>
      <w:r>
        <w:rPr>
          <w:i/>
        </w:rPr>
        <w:t xml:space="preserve">et al.</w:t>
      </w:r>
      <w:r>
        <w:t xml:space="preserve">, 2021)</w:t>
      </w:r>
      <w:r>
        <w:t xml:space="preserve">. In contrast, open canopies with lower canopy LAI allow more vertical air mixing and sunlight into the understory. 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 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Under lower wind conditions, the thickness of the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Understory leaves, which typically experience lower windspeeds (Fig. 2), would retain more heat.</w:t>
      </w:r>
      <w:r>
        <w:t xml:space="preserve"> </w:t>
      </w:r>
      <w:r>
        <w:t xml:space="preserve">Higher RH conditions in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rPr>
          <w:i/>
        </w:rPr>
        <w:t xml:space="preserve">,</w:t>
      </w:r>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canopy than buffered lower-canopies. In some cases canopy leaves exceed the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w:t>
      </w:r>
      <w:r>
        <w:t xml:space="preserve">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2018b; Miller</w:t>
      </w:r>
      <w:r>
        <w:t xml:space="preserve"> </w:t>
      </w:r>
      <w:r>
        <w:rPr>
          <w:i/>
        </w:rPr>
        <w:t xml:space="preserve">et al.</w:t>
      </w:r>
      <w:r>
        <w:t xml:space="preserve">, 2021)</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the inner canopy can also increase</w:t>
      </w:r>
      <w:r>
        <w:t xml:space="preserve"> </w:t>
      </w:r>
      <m:oMath>
        <m:sSub>
          <m:e>
            <m:r>
              <m:t>T</m:t>
            </m:r>
          </m:e>
          <m:sub>
            <m:r>
              <m:t>l</m:t>
            </m:r>
            <m:r>
              <m:t>e</m:t>
            </m:r>
            <m:r>
              <m:t>a</m:t>
            </m:r>
            <m:r>
              <m:t>f</m:t>
            </m:r>
          </m:sub>
        </m:sSub>
      </m:oMath>
      <w:r>
        <w:t xml:space="preserve"> </w:t>
      </w:r>
      <w:r>
        <w:t xml:space="preserve">relative to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branch and stem temperatures. For instance, exposed tropical tree bark can be much warmer than leaves and flowers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rPr>
          <w:b/>
        </w:rPr>
        <w:t xml:space="preserve">.</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shaped by interspecific trait variation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an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w:t>
      </w:r>
      <w:r>
        <w:t xml:space="preserve"> </w:t>
      </w:r>
      <w:r>
        <w:t xml:space="preserve">(Wright</w:t>
      </w:r>
      <w:r>
        <w:t xml:space="preserve"> </w:t>
      </w:r>
      <w:r>
        <w:rPr>
          <w:i/>
        </w:rPr>
        <w:t xml:space="preserve">et al.</w:t>
      </w:r>
      <w:r>
        <w:t xml:space="preserve">, 2004)</w:t>
      </w:r>
      <w:r>
        <w:t xml:space="preserve"> </w:t>
      </w:r>
      <w:r>
        <w:t xml:space="preserve">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vertically through the canopy.</w:t>
      </w:r>
      <w:r>
        <w:t xml:space="preserve"> </w:t>
      </w:r>
      <w:r>
        <w:t xml:space="preserve">It has been established that independent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(Carter</w:t>
      </w:r>
      <w:r>
        <w:t xml:space="preserve"> </w:t>
      </w:r>
      <w:r>
        <w:rPr>
          <w:i/>
        </w:rPr>
        <w:t xml:space="preserve">et al.</w:t>
      </w:r>
      <w:r>
        <w:t xml:space="preserve">, 2021; Niinemets, 2010)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have traits that reduce heat and water stress – for instance, by being smaller, hairier, having higher vein density</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1968; Mathur</w:t>
      </w:r>
      <w:r>
        <w:t xml:space="preserve"> </w:t>
      </w:r>
      <w:r>
        <w:rPr>
          <w:i/>
        </w:rPr>
        <w:t xml:space="preserve">et al.</w:t>
      </w:r>
      <w:r>
        <w:t xml:space="preserve">, 2018)</w:t>
      </w:r>
      <w:r>
        <w:t xml:space="preserve">, and a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they are more likely to overheat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 VPD 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b197f03a8cf8d32d5770a4d7b6ee206d103033f"/>
    <w:p>
      <w:pPr>
        <w:pStyle w:val="Heading4"/>
      </w:pPr>
      <w:r>
        <w:t xml:space="preserve">(Biochemical and elemental traits, and isoprene)</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 Heat-sensitive emissions of isoprene gas from tree leaves enhance photosynthetic thermal tolerance by regulating antioxidant defences and other metabolic processes</w:t>
      </w:r>
      <w:r>
        <w:t xml:space="preserve"> </w:t>
      </w:r>
      <w:r>
        <w:t xml:space="preserve">(Taylor</w:t>
      </w:r>
      <w:r>
        <w:t xml:space="preserve"> </w:t>
      </w:r>
      <w:r>
        <w:rPr>
          <w:i/>
        </w:rPr>
        <w:t xml:space="preserve">et al.</w:t>
      </w:r>
      <w:r>
        <w:t xml:space="preserve">, 2019a; Sharkey</w:t>
      </w:r>
      <w:r>
        <w:t xml:space="preserve"> </w:t>
      </w:r>
      <w:r>
        <w:rPr>
          <w:i/>
        </w:rPr>
        <w:t xml:space="preserve">et al.</w:t>
      </w:r>
      <w:r>
        <w:t xml:space="preserve">, 2008; Monson</w:t>
      </w:r>
      <w:r>
        <w:t xml:space="preserve"> </w:t>
      </w:r>
      <w:r>
        <w:rPr>
          <w:i/>
        </w:rPr>
        <w:t xml:space="preserve">et al.</w:t>
      </w:r>
      <w:r>
        <w:t xml:space="preserve">, 2021)</w:t>
      </w:r>
      <w:r>
        <w:t xml:space="preserve">.</w:t>
      </w:r>
    </w:p>
    <w:bookmarkEnd w:id="34"/>
    <w:bookmarkStart w:id="35" w:name="leaf-lifecycles"/>
    <w:p>
      <w:pPr>
        <w:pStyle w:val="Heading4"/>
      </w:pPr>
      <w:r>
        <w:t xml:space="preserve">(Leaf lifecycles)</w:t>
      </w:r>
    </w:p>
    <w:p>
      <w:pPr>
        <w:pStyle w:val="FirstParagraph"/>
      </w:pPr>
      <w:r>
        <w:t xml:space="preserve">The vertical structure of microenvironments likely influences forest photosynthetic capacity</w:t>
      </w:r>
      <w:r>
        <w:t xml:space="preserve"> </w:t>
      </w:r>
      <w:r>
        <w:t xml:space="preserve">(Rey-Sánchez</w:t>
      </w:r>
      <w:r>
        <w:t xml:space="preserve"> </w:t>
      </w:r>
      <w:r>
        <w:rPr>
          <w:i/>
        </w:rPr>
        <w:t xml:space="preserve">et al.</w:t>
      </w:r>
      <w:r>
        <w:t xml:space="preserve">, 2016)</w:t>
      </w:r>
      <w:r>
        <w:t xml:space="preserve"> </w:t>
      </w:r>
      <w:r>
        <w:t xml:space="preserve">via leaf phenology. For example, deciduousness is an adaptation to conserve water during dry periods</w:t>
      </w:r>
      <w:r>
        <w:t xml:space="preserve"> </w:t>
      </w:r>
      <w:r>
        <w:t xml:space="preserve">(Meakem</w:t>
      </w:r>
      <w:r>
        <w:t xml:space="preserve"> </w:t>
      </w:r>
      <w:r>
        <w:rPr>
          <w:i/>
        </w:rPr>
        <w:t xml:space="preserve">et al.</w:t>
      </w:r>
      <w:r>
        <w:t xml:space="preserve">, 2018)</w:t>
      </w:r>
      <w:r>
        <w:t xml:space="preserve">, but is also structured across the vertical profile. Within tropical deciduous species, the fraction of seasonally deciduous individuals increases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 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 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 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4"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 However, because of the high VPD and irradiance experienced by sun leaves, midday stomatal depression is more prevalent in sun leaves than shade leaves in closed-canopy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open forests, midday stomatal closure can occur in both upper canopy and lower canopy leaves, with stomata of lower canopy leaves remaining closed for a longer duration than upper canopy leaves, resulting in elevated</w:t>
      </w:r>
      <w:r>
        <w:t xml:space="preserve"> </w:t>
      </w:r>
      <m:oMath>
        <m:sSub>
          <m:e>
            <m:r>
              <m:t>T</m:t>
            </m:r>
          </m:e>
          <m:sub>
            <m:r>
              <m:t>l</m:t>
            </m:r>
            <m:r>
              <m:t>e</m:t>
            </m:r>
            <m:r>
              <m:t>a</m:t>
            </m:r>
            <m:r>
              <m:t>f</m:t>
            </m:r>
          </m:sub>
        </m:sSub>
      </m:oMath>
      <w:r>
        <w:t xml:space="preserve"> </w:t>
      </w:r>
      <w:r>
        <w:t xml:space="preserve">(OSBS, 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 leaves, which also have traits enabling higher photosynthetic rates under high light and sufficient nutrient and water conditions (Table 1, Table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corresponding to the prevalent ambient growing season conditions</w:t>
      </w:r>
      <w:r>
        <w:t xml:space="preserve"> </w:t>
      </w:r>
      <w:r>
        <w:t xml:space="preserve">(Doughty &amp; Goulden, 2008; Slot &amp; Winter, 2017; Tan</w:t>
      </w:r>
      <w:r>
        <w:t xml:space="preserve"> </w:t>
      </w:r>
      <w:r>
        <w:rPr>
          <w:i/>
        </w:rPr>
        <w:t xml:space="preserve">et al.</w:t>
      </w:r>
      <w:r>
        <w:t xml:space="preserve">, 2017)</w:t>
      </w:r>
      <w:r>
        <w:t xml:space="preserve">. 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p>
    <w:bookmarkEnd w:id="42"/>
    <w:bookmarkStart w:id="43" w:name="voc-production"/>
    <w:p>
      <w:pPr>
        <w:pStyle w:val="Heading3"/>
      </w:pPr>
      <w:r>
        <w:t xml:space="preserve">VOC production</w:t>
      </w:r>
    </w:p>
    <w:p>
      <w:pPr>
        <w:pStyle w:val="FirstParagraph"/>
      </w:pPr>
      <w:r>
        <w:rPr>
          <w:b/>
        </w:rPr>
        <w:t xml:space="preserve">The vertical structuring of leaf isoprene emissions may indicate the importance of temporal variability in thermal conditions as distinct from the long-term average.</w:t>
      </w:r>
      <w:r>
        <w:t xml:space="preserve"> </w:t>
      </w:r>
      <w:r>
        <w:t xml:space="preserve">Isoprene gas emission from tree leaves is associated with photosynthetic thermal tolerance</w:t>
      </w:r>
      <w:r>
        <w:t xml:space="preserve"> </w:t>
      </w:r>
      <w:r>
        <w:t xml:space="preserve">(Taylor</w:t>
      </w:r>
      <w:r>
        <w:t xml:space="preserve"> </w:t>
      </w:r>
      <w:r>
        <w:rPr>
          <w:i/>
        </w:rPr>
        <w:t xml:space="preserve">et al.</w:t>
      </w:r>
      <w:r>
        <w:t xml:space="preserve">, 2019b; Sharkey</w:t>
      </w:r>
      <w:r>
        <w:t xml:space="preserve"> </w:t>
      </w:r>
      <w:r>
        <w:rPr>
          <w:i/>
        </w:rPr>
        <w:t xml:space="preserve">et al.</w:t>
      </w:r>
      <w:r>
        <w:t xml:space="preserve">, 2008)</w:t>
      </w:r>
      <w:r>
        <w:t xml:space="preserve">, and within species, emission rates tend to increase toward brighter and hotter microenvironments</w:t>
      </w:r>
      <w:r>
        <w:t xml:space="preserve"> </w:t>
      </w:r>
      <w:r>
        <w:t xml:space="preserve">(Niinemets</w:t>
      </w:r>
      <w:r>
        <w:t xml:space="preserve"> </w:t>
      </w:r>
      <w:r>
        <w:rPr>
          <w:i/>
        </w:rPr>
        <w:t xml:space="preserve">et al.</w:t>
      </w:r>
      <w:r>
        <w:t xml:space="preserve">, 2010)</w:t>
      </w:r>
      <w:r>
        <w:t xml:space="preserve">. Across landscapes, emitting species increase in relative abundance toward hotter climates, exceeding half of trees in warm tropical forests</w:t>
      </w:r>
      <w:r>
        <w:t xml:space="preserve"> </w:t>
      </w:r>
      <w:r>
        <w:t xml:space="preserve">(Taylor</w:t>
      </w:r>
      <w:r>
        <w:t xml:space="preserve"> </w:t>
      </w:r>
      <w:r>
        <w:rPr>
          <w:i/>
        </w:rPr>
        <w:t xml:space="preserve">et al.</w:t>
      </w:r>
      <w:r>
        <w:t xml:space="preserve">, 2018)</w:t>
      </w:r>
      <w:r>
        <w:t xml:space="preserve">. In contrast, 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
        </w:rPr>
        <w:t xml:space="preserve">et al.</w:t>
      </w:r>
      <w:r>
        <w:t xml:space="preserve">, 2021)</w:t>
      </w:r>
      <w:r>
        <w:t xml:space="preserve">. 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
        </w:rPr>
        <w:t xml:space="preserve">et al.</w:t>
      </w:r>
      <w:r>
        <w:t xml:space="preserve">, 2008)</w:t>
      </w:r>
      <w:r>
        <w:t xml:space="preserve">, due to the sun’s passage across a dynamically structured canopy surface. This review focuses primarily on variation in mean conditions across the vertical profile, but future work should seek to understand how temporal dynamics of leaf heating</w:t>
      </w:r>
      <w:r>
        <w:t xml:space="preserve"> </w:t>
      </w:r>
      <w:r>
        <w:t xml:space="preserve">(see Leigh</w:t>
      </w:r>
      <w:r>
        <w:t xml:space="preserve"> </w:t>
      </w:r>
      <w:r>
        <w:rPr>
          <w:i/>
        </w:rPr>
        <w:t xml:space="preserve">et al.</w:t>
      </w:r>
      <w:r>
        <w:t xml:space="preserve">, 2017)</w:t>
      </w:r>
      <w:r>
        <w:t xml:space="preserve"> </w:t>
      </w:r>
      <w:r>
        <w:t xml:space="preserve">vary through the canopy and influence leaf function.</w:t>
      </w:r>
    </w:p>
    <w:bookmarkEnd w:id="43"/>
    <w:bookmarkEnd w:id="44"/>
    <w:bookmarkStart w:id="49"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7"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at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an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 As a result of increasing carbon allocation to these other functions, mass-specific - and sometimes even absolute - woody growth rates decrease with tree size</w:t>
      </w:r>
      <w:r>
        <w:t xml:space="preserve"> </w:t>
      </w:r>
      <w:r>
        <w:t xml:space="preserve">(</w:t>
      </w:r>
      <w:r>
        <w:rPr>
          <w:b/>
        </w:rPr>
        <w:t xml:space="preserve">REFS</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
        </w:rPr>
        <w:t xml:space="preserve">et al.</w:t>
      </w:r>
      <w:r>
        <w:t xml:space="preserve">, 2018; Garcia</w:t>
      </w:r>
      <w:r>
        <w:t xml:space="preserve"> </w:t>
      </w:r>
      <w:r>
        <w:rPr>
          <w:i/>
        </w:rPr>
        <w:t xml:space="preserve">et al.</w:t>
      </w:r>
      <w:r>
        <w:t xml:space="preserve">, 2021; Chitra-Tarak</w:t>
      </w:r>
      <w:r>
        <w:t xml:space="preserve"> </w:t>
      </w:r>
      <w:r>
        <w:rPr>
          <w:i/>
        </w:rPr>
        <w:t xml:space="preserve">et al.</w:t>
      </w:r>
      <w:r>
        <w:t xml:space="preserve">, 2021)</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lower drought resistance of growth, larger trees also frequently exhibit lower ability to bounce back from stress, ie. resilience</w:t>
      </w:r>
      <w:r>
        <w:t xml:space="preserve"> </w:t>
      </w:r>
      <w:r>
        <w:t xml:space="preserve">(McGregor</w:t>
      </w:r>
      <w:r>
        <w:t xml:space="preserve"> </w:t>
      </w:r>
      <w:r>
        <w:rPr>
          <w:i/>
        </w:rPr>
        <w:t xml:space="preserve">et al.</w:t>
      </w:r>
      <w:r>
        <w:t xml:space="preserve">, 2021; Gillerot</w:t>
      </w:r>
      <w:r>
        <w:t xml:space="preserve"> </w:t>
      </w:r>
      <w:r>
        <w:rPr>
          <w:i/>
        </w:rPr>
        <w:t xml:space="preserve">et al.</w:t>
      </w:r>
      <w:r>
        <w:t xml:space="preserve">, 2020)</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
        </w:rPr>
        <w:t xml:space="preserve">et al.</w:t>
      </w:r>
      <w:r>
        <w:t xml:space="preserve">, 2019)</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2021)</w:t>
      </w:r>
      <w:r>
        <w:t xml:space="preserve">.</w:t>
      </w:r>
      <w:r>
        <w:t xml:space="preserve"> </w:t>
      </w:r>
      <w:r>
        <w:t xml:space="preserve">Potential mechanisms for these patterns include stifling of understory</w:t>
      </w:r>
      <w:r>
        <w:t xml:space="preserve"> </w:t>
      </w:r>
      <m:oMath>
        <m:r>
          <m:t>λ</m:t>
        </m:r>
        <m:r>
          <m:t>E</m:t>
        </m:r>
      </m:oMath>
      <w:r>
        <w:t xml:space="preserve"> </w:t>
      </w:r>
      <w:r>
        <w:t xml:space="preserve">under low wind, humid conditions, resulting in above-optimal</w:t>
      </w:r>
      <w:r>
        <w:t xml:space="preserve"> </w:t>
      </w:r>
      <m:oMath>
        <m:sSub>
          <m:e>
            <m:r>
              <m:t>T</m:t>
            </m:r>
          </m:e>
          <m:sub>
            <m:r>
              <m:t>l</m:t>
            </m:r>
            <m:r>
              <m:t>e</m:t>
            </m:r>
            <m:r>
              <m:t>a</m:t>
            </m:r>
            <m:r>
              <m:t>f</m:t>
            </m:r>
          </m:sub>
        </m:sSub>
      </m:oMath>
      <w:r>
        <w:t xml:space="preserve"> </w:t>
      </w:r>
      <w:r>
        <w:t xml:space="preserve">(Fig. 3) and lower photosynthesis. Furthermore, warming-induced increases in nighttime respiratory carbon loss may be particularly disadvantageous for understory trees that are operating closer to their light-compensation point than canopy trees. Additional research is required to understand these mechanisms and to disentangle tree growth responses to hot-wet versus hot-dry conditions.</w:t>
      </w:r>
    </w:p>
    <w:p>
      <w:pPr>
        <w:pStyle w:val="CaptionedFigure"/>
      </w:pPr>
      <w:r>
        <w:drawing>
          <wp:inline>
            <wp:extent cx="5334000" cy="5359644"/>
            <wp:effectExtent b="0" l="0" r="0" t="0"/>
            <wp:docPr descr="**Figure 4. Examples of tree-ring analyses showing differential interannual temperature sensitivity of annual growth between large canopy versus smaller understory trees. In column (a), large trees have a more negative response to high temperatures during the current or previous growing season. Shown are tree ring width (RW) responses to the most influential temperature variable at the site (T_{max} or PET) of the largest versus smallest trees included in GLS model with a DBH x temperature interaction (Anderson-Teixeira et al., in review). In column (b), understory trees have more negative responses to high growing season temperatures across eight New England forests, (Rollinson et al. (2021)). ISSUE # 29."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5"/>
                    <a:stretch>
                      <a:fillRect/>
                    </a:stretch>
                  </pic:blipFill>
                  <pic:spPr bwMode="auto">
                    <a:xfrm>
                      <a:off x="0" y="0"/>
                      <a:ext cx="5334000" cy="5359644"/>
                    </a:xfrm>
                    <a:prstGeom prst="rect">
                      <a:avLst/>
                    </a:prstGeom>
                    <a:noFill/>
                    <a:ln w="9525">
                      <a:noFill/>
                      <a:headEnd/>
                      <a:tailEnd/>
                    </a:ln>
                  </pic:spPr>
                </pic:pic>
              </a:graphicData>
            </a:graphic>
          </wp:inline>
        </w:drawing>
      </w:r>
    </w:p>
    <w:p>
      <w:pPr>
        <w:pStyle w:val="ImageCaption"/>
      </w:pPr>
      <w:r>
        <w:t xml:space="preserve">**Figure 4. Examples of tree-ring analyses showing differential interannual temperature sensitivity of annual growth between large canopy versus smaller understory trees. In column (a), large trees have a more negative response to high temperatures during the current or previous growing season. Shown are tree ring width (RW) responses to the most influential temperature variable at the site (</w:t>
      </w:r>
      <m:oMath>
        <m:sSub>
          <m:e>
            <m:r>
              <m:t>T</m:t>
            </m:r>
          </m:e>
          <m:sub>
            <m:r>
              <m:t>m</m:t>
            </m:r>
            <m:r>
              <m:t>a</m:t>
            </m:r>
            <m:r>
              <m:t>x</m:t>
            </m:r>
          </m:sub>
        </m:sSub>
      </m:oMath>
      <w:r>
        <w:t xml:space="preserve"> </w:t>
      </w:r>
      <w:r>
        <w:t xml:space="preserve">or PET) of the largest versus smallest trees included in GLS model with a DBH x temperature interaction (Anderson-Teixeira et al., in review). In column (b), understory trees have more negative responses to high growing season temperatures across eight New England forests, (</w:t>
      </w:r>
      <w:r>
        <w:t xml:space="preserve">Rollinson</w:t>
      </w:r>
      <w:r>
        <w:t xml:space="preserve"> </w:t>
      </w:r>
      <w:r>
        <w:rPr>
          <w:i/>
        </w:rPr>
        <w:t xml:space="preserve">et al.</w:t>
      </w:r>
      <w:r>
        <w:t xml:space="preserve"> </w:t>
      </w:r>
      <w:r>
        <w:t xml:space="preserve">(2021)</w:t>
      </w:r>
      <w:r>
        <w:t xml:space="preserve">).</w:t>
      </w:r>
      <w:r>
        <w:t xml:space="preserve"> </w:t>
      </w:r>
      <w:hyperlink r:id="rId46">
        <w:r>
          <w:rPr>
            <w:rStyle w:val="Hyperlink"/>
          </w:rPr>
          <w:t xml:space="preserve">ISSUE # 29</w:t>
        </w:r>
      </w:hyperlink>
      <w:r>
        <w:t xml:space="preserve">.</w:t>
      </w:r>
    </w:p>
    <w:bookmarkEnd w:id="47"/>
    <w:bookmarkStart w:id="48"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In terms of C cycling, it has been estimated that canopy strata contribute $</w:t>
      </w:r>
      <m:oMath>
        <m:r>
          <m:t>64</m:t>
        </m:r>
      </m:oMath>
      <w:r>
        <w:t xml:space="preserve">ANPP_{woody}</w:t>
      </w:r>
      <m:oMath>
        <m:r>
          <m:t>)</m:t>
        </m:r>
        <m:r>
          <m:t>a</m:t>
        </m:r>
        <m:r>
          <m:t>n</m:t>
        </m:r>
        <m:r>
          <m:t>d</m:t>
        </m:r>
        <m:r>
          <m:t>m</m:t>
        </m:r>
        <m:r>
          <m:t>o</m:t>
        </m:r>
        <m:r>
          <m:t>r</m:t>
        </m:r>
        <m:r>
          <m:t>t</m:t>
        </m:r>
        <m:r>
          <m:t>a</m:t>
        </m:r>
        <m:r>
          <m:t>l</m:t>
        </m:r>
        <m:r>
          <m:t>i</m:t>
        </m:r>
        <m:r>
          <m:t>t</m:t>
        </m:r>
        <m:r>
          <m:t>y</m:t>
        </m:r>
        <m:r>
          <m:t>(</m:t>
        </m:r>
      </m:oMath>
      <w:r>
        <w:t xml:space="preserve">M_{woody}$), with trees $</w:t>
      </w:r>
      <w:r>
        <w:t xml:space="preserve">$10cm DBH usually contributing $&gt;$85% of ANPPwoody and Mwoody across 25 globally distributed forests (Fig. 5b, Piponiot et al., accepted).</w:t>
      </w:r>
    </w:p>
    <w:p>
      <w:pPr>
        <w:pStyle w:val="BodyText"/>
      </w:pPr>
      <w:r>
        <w:rPr>
          <w:b/>
        </w:rPr>
        <w:t xml:space="preserve">Include ET figure</w:t>
      </w:r>
      <w:r>
        <w:t xml:space="preserve"> </w:t>
      </w:r>
      <w:r>
        <w:t xml:space="preserve">Figure 5. 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at least under conditions of moderate to high VPD.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is likely to vary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8"/>
    <w:bookmarkEnd w:id="49"/>
    <w:bookmarkStart w:id="50"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0"/>
    <w:bookmarkStart w:id="53"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1"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1"/>
    <w:bookmarkStart w:id="52" w:name="warming"/>
    <w:p>
      <w:pPr>
        <w:pStyle w:val="Heading3"/>
      </w:pPr>
      <w:r>
        <w:t xml:space="preserve">warming</w:t>
      </w:r>
    </w:p>
    <w:p>
      <w:pPr>
        <w:pStyle w:val="FirstParagraph"/>
      </w:pPr>
      <w:r>
        <w:t xml:space="preserve">Warming shifts forest composition, from leaf metabolism to whole forest structure. At a leaf metabolism level, global analysis shows that with temperature increase, foliage photosynthesis and respiration are coupled up to photosynthetic thermal optimum, beyond this inflection point, photosynthesis declines whereas respiration increases exponentially, thereby shifting the C balance from sink to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ecosystems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2"/>
    <w:bookmarkEnd w:id="53"/>
    <w:bookmarkStart w:id="57"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6"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4"/>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55">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56"/>
    <w:bookmarkEnd w:id="57"/>
    <w:bookmarkStart w:id="58"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8"/>
    <w:bookmarkStart w:id="59"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59"/>
    <w:bookmarkStart w:id="255" w:name="references"/>
    <w:p>
      <w:pPr>
        <w:pStyle w:val="Heading2"/>
      </w:pPr>
      <w:r>
        <w:t xml:space="preserve">References</w:t>
      </w:r>
    </w:p>
    <w:bookmarkStart w:id="254" w:name="refs"/>
    <w:bookmarkStart w:id="60"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60"/>
    <w:bookmarkStart w:id="61"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1"/>
    <w:bookmarkStart w:id="62"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2"/>
    <w:bookmarkStart w:id="63"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3"/>
    <w:bookmarkStart w:id="64"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4"/>
    <w:bookmarkStart w:id="65"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5"/>
    <w:bookmarkStart w:id="66"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66"/>
    <w:bookmarkStart w:id="67"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67"/>
    <w:bookmarkStart w:id="68"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68"/>
    <w:bookmarkStart w:id="69"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69"/>
    <w:bookmarkStart w:id="70"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0"/>
    <w:bookmarkStart w:id="71"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1"/>
    <w:bookmarkStart w:id="72"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2"/>
    <w:bookmarkStart w:id="73"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3"/>
    <w:bookmarkStart w:id="74"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4"/>
    <w:bookmarkStart w:id="75"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5"/>
    <w:bookmarkStart w:id="76"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6"/>
    <w:bookmarkStart w:id="77"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77"/>
    <w:bookmarkStart w:id="78"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78"/>
    <w:bookmarkStart w:id="79" w:name="X12387319323228597fc874166dd46b878d56df1"/>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79"/>
    <w:bookmarkStart w:id="80"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0"/>
    <w:bookmarkStart w:id="81"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1"/>
    <w:bookmarkStart w:id="82"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2"/>
    <w:bookmarkStart w:id="83"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3"/>
    <w:bookmarkStart w:id="84"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4"/>
    <w:bookmarkStart w:id="85"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5"/>
    <w:bookmarkStart w:id="86" w:name="X863ee74947342db1d57e800b971f1a301e624d4"/>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rPr>
          <w:b/>
        </w:rPr>
        <w:t xml:space="preserve">2021</w:t>
      </w:r>
      <w:r>
        <w:t xml:space="preserve">. Hydraulically-vulnerable trees survive on deep-water access during droughts in a tropical forest.</w:t>
      </w:r>
      <w:r>
        <w:t xml:space="preserve"> </w:t>
      </w:r>
      <w:r>
        <w:rPr>
          <w:i/>
        </w:rPr>
        <w:t xml:space="preserve">New Phytologist</w:t>
      </w:r>
      <w:r>
        <w:t xml:space="preserve"> </w:t>
      </w:r>
      <w:r>
        <w:rPr>
          <w:b/>
        </w:rPr>
        <w:t xml:space="preserve">n/a</w:t>
      </w:r>
      <w:r>
        <w:t xml:space="preserve">.</w:t>
      </w:r>
    </w:p>
    <w:bookmarkEnd w:id="86"/>
    <w:bookmarkStart w:id="87"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87"/>
    <w:bookmarkStart w:id="88"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88"/>
    <w:bookmarkStart w:id="89"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89"/>
    <w:bookmarkStart w:id="90"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0"/>
    <w:bookmarkStart w:id="91"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1"/>
    <w:bookmarkStart w:id="92"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2"/>
    <w:bookmarkStart w:id="93"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3"/>
    <w:bookmarkStart w:id="94"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94"/>
    <w:bookmarkStart w:id="95"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5"/>
    <w:bookmarkStart w:id="96"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6"/>
    <w:bookmarkStart w:id="97"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97"/>
    <w:bookmarkStart w:id="98"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98"/>
    <w:bookmarkStart w:id="99"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99"/>
    <w:bookmarkStart w:id="100"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0"/>
    <w:bookmarkStart w:id="101"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1"/>
    <w:bookmarkStart w:id="102"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2"/>
    <w:bookmarkStart w:id="103"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3"/>
    <w:bookmarkStart w:id="104"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04"/>
    <w:bookmarkStart w:id="105"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05"/>
    <w:bookmarkStart w:id="106"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06"/>
    <w:bookmarkStart w:id="107"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7"/>
    <w:bookmarkStart w:id="108"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08"/>
    <w:bookmarkStart w:id="109"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09"/>
    <w:bookmarkStart w:id="110"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0"/>
    <w:bookmarkStart w:id="111"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11"/>
    <w:bookmarkStart w:id="112"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2"/>
    <w:bookmarkStart w:id="113"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13"/>
    <w:bookmarkStart w:id="114"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4"/>
    <w:bookmarkStart w:id="115"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5"/>
    <w:bookmarkStart w:id="116"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6"/>
    <w:bookmarkStart w:id="117"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7"/>
    <w:bookmarkStart w:id="118"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8"/>
    <w:bookmarkStart w:id="119"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9"/>
    <w:bookmarkStart w:id="120"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20"/>
    <w:bookmarkStart w:id="121"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21"/>
    <w:bookmarkStart w:id="122"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22"/>
    <w:bookmarkStart w:id="123"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23"/>
    <w:bookmarkStart w:id="124"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4"/>
    <w:bookmarkStart w:id="125"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5"/>
    <w:bookmarkStart w:id="126"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6"/>
    <w:bookmarkStart w:id="127"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7"/>
    <w:bookmarkStart w:id="128"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8"/>
    <w:bookmarkStart w:id="129"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29"/>
    <w:bookmarkStart w:id="130"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30"/>
    <w:bookmarkStart w:id="131"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31"/>
    <w:bookmarkStart w:id="132"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32"/>
    <w:bookmarkStart w:id="133"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3"/>
    <w:bookmarkStart w:id="134"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34"/>
    <w:bookmarkStart w:id="135"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5"/>
    <w:bookmarkStart w:id="136"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6"/>
    <w:bookmarkStart w:id="137"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7"/>
    <w:bookmarkStart w:id="138"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8"/>
    <w:bookmarkStart w:id="139"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39"/>
    <w:bookmarkStart w:id="140"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40"/>
    <w:bookmarkStart w:id="141"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41"/>
    <w:bookmarkStart w:id="142"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2"/>
    <w:bookmarkStart w:id="143"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43"/>
    <w:bookmarkStart w:id="144"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4"/>
    <w:bookmarkStart w:id="145"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5"/>
    <w:bookmarkStart w:id="146"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6"/>
    <w:bookmarkStart w:id="147"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7"/>
    <w:bookmarkStart w:id="148"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8"/>
    <w:bookmarkStart w:id="149"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49"/>
    <w:bookmarkStart w:id="150"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50"/>
    <w:bookmarkStart w:id="151"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51"/>
    <w:bookmarkStart w:id="152"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52"/>
    <w:bookmarkStart w:id="153"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53"/>
    <w:bookmarkStart w:id="154"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54"/>
    <w:bookmarkStart w:id="155"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5"/>
    <w:bookmarkStart w:id="156"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6"/>
    <w:bookmarkStart w:id="157"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7"/>
    <w:bookmarkStart w:id="158"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8"/>
    <w:bookmarkStart w:id="159"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59"/>
    <w:bookmarkStart w:id="160"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160"/>
    <w:bookmarkStart w:id="161"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61"/>
    <w:bookmarkStart w:id="162"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62"/>
    <w:bookmarkStart w:id="163"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63"/>
    <w:bookmarkStart w:id="164"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64"/>
    <w:bookmarkStart w:id="165"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65"/>
    <w:bookmarkStart w:id="166"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66"/>
    <w:bookmarkStart w:id="167"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7"/>
    <w:bookmarkStart w:id="168"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68"/>
    <w:bookmarkStart w:id="169" w:name="ref-niinemetsEmissionFactorVolatile2010"/>
    <w:p>
      <w:pPr>
        <w:pStyle w:val="Bibliography"/>
      </w:pPr>
      <w:r>
        <w:rPr>
          <w:b w:val="0"/>
          <w:b/>
        </w:rPr>
        <w:t xml:space="preserve">Niinemets Ü</w:t>
      </w:r>
      <w:r>
        <w:rPr>
          <w:b/>
        </w:rPr>
        <w:t xml:space="preserve">,</w:t>
      </w:r>
      <w:r>
        <w:rPr>
          <w:b/>
        </w:rPr>
        <w:t xml:space="preserve"> </w:t>
      </w:r>
      <w:r>
        <w:rPr>
          <w:b w:val="0"/>
          <w:b/>
        </w:rPr>
        <w:t xml:space="preserve">Arneth A</w:t>
      </w:r>
      <w:r>
        <w:rPr>
          <w:b/>
        </w:rPr>
        <w:t xml:space="preserve">,</w:t>
      </w:r>
      <w:r>
        <w:rPr>
          <w:b/>
        </w:rPr>
        <w:t xml:space="preserve"> </w:t>
      </w:r>
      <w:r>
        <w:rPr>
          <w:b w:val="0"/>
          <w:b/>
        </w:rPr>
        <w:t xml:space="preserve">Kuhn U</w:t>
      </w:r>
      <w:r>
        <w:rPr>
          <w:b/>
        </w:rPr>
        <w:t xml:space="preserve">,</w:t>
      </w:r>
      <w:r>
        <w:rPr>
          <w:b/>
        </w:rPr>
        <w:t xml:space="preserve"> </w:t>
      </w:r>
      <w:r>
        <w:rPr>
          <w:b w:val="0"/>
          <w:b/>
        </w:rPr>
        <w:t xml:space="preserve">Monson RK</w:t>
      </w:r>
      <w:r>
        <w:rPr>
          <w:b/>
        </w:rPr>
        <w:t xml:space="preserve">,</w:t>
      </w:r>
      <w:r>
        <w:rPr>
          <w:b/>
        </w:rPr>
        <w:t xml:space="preserve"> </w:t>
      </w:r>
      <w:r>
        <w:rPr>
          <w:b w:val="0"/>
          <w:b/>
        </w:rPr>
        <w:t xml:space="preserve">Peñuelas J</w:t>
      </w:r>
      <w:r>
        <w:rPr>
          <w:b/>
        </w:rPr>
        <w:t xml:space="preserve">,</w:t>
      </w:r>
      <w:r>
        <w:rPr>
          <w:b/>
        </w:rPr>
        <w:t xml:space="preserve"> </w:t>
      </w:r>
      <w:r>
        <w:rPr>
          <w:b w:val="0"/>
          <w:b/>
        </w:rPr>
        <w:t xml:space="preserve">Staudt M</w:t>
      </w:r>
      <w:r>
        <w:t xml:space="preserve">.</w:t>
      </w:r>
      <w:r>
        <w:t xml:space="preserve"> </w:t>
      </w:r>
      <w:r>
        <w:rPr>
          <w:b/>
        </w:rPr>
        <w:t xml:space="preserve">2010</w:t>
      </w:r>
      <w:r>
        <w:t xml:space="preserve">. The emission factor of volatile isoprenoids: Stress, acclimation, and developmental responses.</w:t>
      </w:r>
      <w:r>
        <w:t xml:space="preserve"> </w:t>
      </w:r>
      <w:r>
        <w:rPr>
          <w:i/>
        </w:rPr>
        <w:t xml:space="preserve">Biogeosciences</w:t>
      </w:r>
      <w:r>
        <w:t xml:space="preserve"> </w:t>
      </w:r>
      <w:r>
        <w:rPr>
          <w:b/>
        </w:rPr>
        <w:t xml:space="preserve">7</w:t>
      </w:r>
      <w:r>
        <w:t xml:space="preserve">: 2203–2223.</w:t>
      </w:r>
    </w:p>
    <w:bookmarkEnd w:id="169"/>
    <w:bookmarkStart w:id="170"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70"/>
    <w:bookmarkStart w:id="171"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71"/>
    <w:bookmarkStart w:id="172"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72"/>
    <w:bookmarkStart w:id="173"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73"/>
    <w:bookmarkStart w:id="174"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74"/>
    <w:bookmarkStart w:id="175"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75"/>
    <w:bookmarkStart w:id="176"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76"/>
    <w:bookmarkStart w:id="177"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77"/>
    <w:bookmarkStart w:id="178"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8"/>
    <w:bookmarkStart w:id="179"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9"/>
    <w:bookmarkStart w:id="180"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80"/>
    <w:bookmarkStart w:id="181"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81"/>
    <w:bookmarkStart w:id="182"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82"/>
    <w:bookmarkStart w:id="183"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183"/>
    <w:bookmarkStart w:id="184"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84"/>
    <w:bookmarkStart w:id="185"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85"/>
    <w:bookmarkStart w:id="186"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86"/>
    <w:bookmarkStart w:id="187"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87"/>
    <w:bookmarkStart w:id="188"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88"/>
    <w:bookmarkStart w:id="189"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9"/>
    <w:bookmarkStart w:id="190"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90"/>
    <w:bookmarkStart w:id="191"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91"/>
    <w:bookmarkStart w:id="192" w:name="X3d0c3dd08d141e8c1717ba0f0e2972b58df780d"/>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2021</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192"/>
    <w:bookmarkStart w:id="193"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93"/>
    <w:bookmarkStart w:id="194"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94"/>
    <w:bookmarkStart w:id="195"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95"/>
    <w:bookmarkStart w:id="196"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96"/>
    <w:bookmarkStart w:id="197"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197"/>
    <w:bookmarkStart w:id="198"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98"/>
    <w:bookmarkStart w:id="199"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99"/>
    <w:bookmarkStart w:id="200"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200"/>
    <w:bookmarkStart w:id="201" w:name="X37866945a1514e5304353b865dab4d70276132f"/>
    <w:p>
      <w:pPr>
        <w:pStyle w:val="Bibliography"/>
      </w:pPr>
      <w:r>
        <w:rPr>
          <w:b w:val="0"/>
          <w:b/>
        </w:rPr>
        <w:t xml:space="preserve">Schimel D</w:t>
      </w:r>
      <w:r>
        <w:rPr>
          <w:b/>
        </w:rPr>
        <w:t xml:space="preserve">,</w:t>
      </w:r>
      <w:r>
        <w:rPr>
          <w:b/>
        </w:rPr>
        <w:t xml:space="preserve"> </w:t>
      </w:r>
      <w:r>
        <w:rPr>
          <w:b w:val="0"/>
          <w:b/>
        </w:rPr>
        <w:t xml:space="preserve">Hargrove W</w:t>
      </w:r>
      <w:r>
        <w:rPr>
          <w:b/>
        </w:rPr>
        <w:t xml:space="preserve">,</w:t>
      </w:r>
      <w:r>
        <w:rPr>
          <w:b/>
        </w:rPr>
        <w:t xml:space="preserve"> </w:t>
      </w:r>
      <w:r>
        <w:rPr>
          <w:b w:val="0"/>
          <w:b/>
        </w:rPr>
        <w:t xml:space="preserve">Hoffman F</w:t>
      </w:r>
      <w:r>
        <w:rPr>
          <w:b/>
        </w:rPr>
        <w:t xml:space="preserve">,</w:t>
      </w:r>
      <w:r>
        <w:rPr>
          <w:b/>
        </w:rPr>
        <w:t xml:space="preserve"> </w:t>
      </w:r>
      <w:r>
        <w:rPr>
          <w:b w:val="0"/>
          <w:b/>
        </w:rPr>
        <w:t xml:space="preserve">MacMahon J</w:t>
      </w:r>
      <w:r>
        <w:t xml:space="preserve">.</w:t>
      </w:r>
      <w:r>
        <w:t xml:space="preserve"> </w:t>
      </w:r>
      <w:r>
        <w:rPr>
          <w:b/>
        </w:rPr>
        <w:t xml:space="preserve">2007</w:t>
      </w:r>
      <w:r>
        <w:t xml:space="preserve">. NEON: A hierarchically designed national ecological network.</w:t>
      </w:r>
      <w:r>
        <w:t xml:space="preserve"> </w:t>
      </w:r>
      <w:r>
        <w:rPr>
          <w:i/>
        </w:rPr>
        <w:t xml:space="preserve">Frontiers in Ecology and the Environment</w:t>
      </w:r>
      <w:r>
        <w:t xml:space="preserve"> </w:t>
      </w:r>
      <w:r>
        <w:rPr>
          <w:b/>
        </w:rPr>
        <w:t xml:space="preserve">5</w:t>
      </w:r>
      <w:r>
        <w:t xml:space="preserve">: 59–59.</w:t>
      </w:r>
    </w:p>
    <w:bookmarkEnd w:id="201"/>
    <w:bookmarkStart w:id="202"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02"/>
    <w:bookmarkStart w:id="203"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203"/>
    <w:bookmarkStart w:id="204"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04"/>
    <w:bookmarkStart w:id="205"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05"/>
    <w:bookmarkStart w:id="206"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06"/>
    <w:bookmarkStart w:id="207"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07"/>
    <w:bookmarkStart w:id="208"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08"/>
    <w:bookmarkStart w:id="209"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09"/>
    <w:bookmarkStart w:id="210"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10"/>
    <w:bookmarkStart w:id="211"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11"/>
    <w:bookmarkStart w:id="212"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12"/>
    <w:bookmarkStart w:id="213"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13"/>
    <w:bookmarkStart w:id="214"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14"/>
    <w:bookmarkStart w:id="215"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15"/>
    <w:bookmarkStart w:id="216"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16"/>
    <w:bookmarkStart w:id="217"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17"/>
    <w:bookmarkStart w:id="218"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18"/>
    <w:bookmarkStart w:id="219"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9"/>
    <w:bookmarkStart w:id="220"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20"/>
    <w:bookmarkStart w:id="221"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21"/>
    <w:bookmarkStart w:id="222"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22"/>
    <w:bookmarkStart w:id="223" w:name="X40affe6757fc836843b6dd54e003778f32bf8ab"/>
    <w:p>
      <w:pPr>
        <w:pStyle w:val="Bibliography"/>
      </w:pPr>
      <w:r>
        <w:rPr>
          <w:b w:val="0"/>
          <w:b/>
        </w:rPr>
        <w:t xml:space="preserve">Taylor TC</w:t>
      </w:r>
      <w:r>
        <w:rPr>
          <w:b/>
        </w:rPr>
        <w:t xml:space="preserve">,</w:t>
      </w:r>
      <w:r>
        <w:rPr>
          <w:b/>
        </w:rPr>
        <w:t xml:space="preserve"> </w:t>
      </w:r>
      <w:r>
        <w:rPr>
          <w:b w:val="0"/>
          <w:b/>
        </w:rPr>
        <w:t xml:space="preserve">McMahon SM</w:t>
      </w:r>
      <w:r>
        <w:rPr>
          <w:b/>
        </w:rPr>
        <w:t xml:space="preserve">,</w:t>
      </w:r>
      <w:r>
        <w:rPr>
          <w:b/>
        </w:rPr>
        <w:t xml:space="preserve"> </w:t>
      </w:r>
      <w:r>
        <w:rPr>
          <w:b w:val="0"/>
          <w:b/>
        </w:rPr>
        <w:t xml:space="preserve">Smith MN</w:t>
      </w:r>
      <w:r>
        <w:rPr>
          <w:b/>
        </w:rPr>
        <w:t xml:space="preserve">,</w:t>
      </w:r>
      <w:r>
        <w:rPr>
          <w:b/>
        </w:rPr>
        <w:t xml:space="preserve"> </w:t>
      </w:r>
      <w:r>
        <w:rPr>
          <w:b w:val="0"/>
          <w:b/>
        </w:rPr>
        <w:t xml:space="preserve">Boyle B</w:t>
      </w:r>
      <w:r>
        <w:rPr>
          <w:b/>
        </w:rPr>
        <w:t xml:space="preserve">,</w:t>
      </w:r>
      <w:r>
        <w:rPr>
          <w:b/>
        </w:rPr>
        <w:t xml:space="preserve"> </w:t>
      </w:r>
      <w:r>
        <w:rPr>
          <w:b w:val="0"/>
          <w:b/>
        </w:rPr>
        <w:t xml:space="preserve">Violle C</w:t>
      </w:r>
      <w:r>
        <w:rPr>
          <w:b/>
        </w:rPr>
        <w:t xml:space="preserve">,</w:t>
      </w:r>
      <w:r>
        <w:rPr>
          <w:b/>
        </w:rPr>
        <w:t xml:space="preserve"> </w:t>
      </w:r>
      <w:r>
        <w:rPr>
          <w:b w:val="0"/>
          <w:b/>
        </w:rPr>
        <w:t xml:space="preserve">Haren J van</w:t>
      </w:r>
      <w:r>
        <w:rPr>
          <w:b/>
        </w:rPr>
        <w:t xml:space="preserve">,</w:t>
      </w:r>
      <w:r>
        <w:rPr>
          <w:b/>
        </w:rPr>
        <w:t xml:space="preserve"> </w:t>
      </w:r>
      <w:r>
        <w:rPr>
          <w:b w:val="0"/>
          <w:b/>
        </w:rPr>
        <w:t xml:space="preserve">Simova I</w:t>
      </w:r>
      <w:r>
        <w:rPr>
          <w:b/>
        </w:rPr>
        <w:t xml:space="preserve">,</w:t>
      </w:r>
      <w:r>
        <w:rPr>
          <w:b/>
        </w:rPr>
        <w:t xml:space="preserve"> </w:t>
      </w:r>
      <w:r>
        <w:rPr>
          <w:b w:val="0"/>
          <w:b/>
        </w:rPr>
        <w:t xml:space="preserve">Meir P</w:t>
      </w:r>
      <w:r>
        <w:rPr>
          <w:b/>
        </w:rPr>
        <w:t xml:space="preserve">,</w:t>
      </w:r>
      <w:r>
        <w:rPr>
          <w:b/>
        </w:rPr>
        <w:t xml:space="preserve"> </w:t>
      </w:r>
      <w:r>
        <w:rPr>
          <w:b w:val="0"/>
          <w:b/>
        </w:rPr>
        <w:t xml:space="preserve">Ferreira LV</w:t>
      </w:r>
      <w:r>
        <w:rPr>
          <w:b/>
        </w:rPr>
        <w:t xml:space="preserve">,</w:t>
      </w:r>
      <w:r>
        <w:rPr>
          <w:b/>
        </w:rPr>
        <w:t xml:space="preserve"> </w:t>
      </w:r>
      <w:r>
        <w:rPr>
          <w:b w:val="0"/>
          <w:b/>
        </w:rPr>
        <w:t xml:space="preserve">Camargo PB de</w:t>
      </w:r>
      <w:r>
        <w:rPr>
          <w:b/>
        </w:rPr>
        <w:t xml:space="preserve"> </w:t>
      </w:r>
      <w:r>
        <w:rPr>
          <w:i/>
          <w:b/>
        </w:rPr>
        <w:t xml:space="preserve">et al.</w:t>
      </w:r>
      <w:r>
        <w:t xml:space="preserve"> </w:t>
      </w:r>
      <w:r>
        <w:rPr>
          <w:b/>
        </w:rPr>
        <w:t xml:space="preserve">2018</w:t>
      </w:r>
      <w:r>
        <w:t xml:space="preserve">. Isoprene emission structures tropical tree biogeography and community assembly responses to climate.</w:t>
      </w:r>
      <w:r>
        <w:t xml:space="preserve"> </w:t>
      </w:r>
      <w:r>
        <w:rPr>
          <w:i/>
        </w:rPr>
        <w:t xml:space="preserve">New Phytologist</w:t>
      </w:r>
      <w:r>
        <w:t xml:space="preserve"> </w:t>
      </w:r>
      <w:r>
        <w:rPr>
          <w:b/>
        </w:rPr>
        <w:t xml:space="preserve">220</w:t>
      </w:r>
      <w:r>
        <w:t xml:space="preserve">: 435–446.</w:t>
      </w:r>
    </w:p>
    <w:bookmarkEnd w:id="223"/>
    <w:bookmarkStart w:id="224" w:name="ref-taylorCapacityEmitIsoprene2019a"/>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2019a</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24"/>
    <w:bookmarkStart w:id="225" w:name="ref-taylorCapacityEmitIsoprene2019"/>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2019b</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25"/>
    <w:bookmarkStart w:id="226" w:name="ref-taylorNewFieldInstrument2021"/>
    <w:p>
      <w:pPr>
        <w:pStyle w:val="Bibliography"/>
      </w:pPr>
      <w:r>
        <w:rPr>
          <w:b w:val="0"/>
          <w:b/>
        </w:rPr>
        <w:t xml:space="preserve">Taylor TC</w:t>
      </w:r>
      <w:r>
        <w:rPr>
          <w:b/>
        </w:rPr>
        <w:t xml:space="preserve">,</w:t>
      </w:r>
      <w:r>
        <w:rPr>
          <w:b/>
        </w:rPr>
        <w:t xml:space="preserve"> </w:t>
      </w:r>
      <w:r>
        <w:rPr>
          <w:b w:val="0"/>
          <w:b/>
        </w:rPr>
        <w:t xml:space="preserve">Wisniewski WT</w:t>
      </w:r>
      <w:r>
        <w:rPr>
          <w:b/>
        </w:rPr>
        <w:t xml:space="preserve">,</w:t>
      </w:r>
      <w:r>
        <w:rPr>
          <w:b/>
        </w:rPr>
        <w:t xml:space="preserve"> </w:t>
      </w:r>
      <w:r>
        <w:rPr>
          <w:b w:val="0"/>
          <w:b/>
        </w:rPr>
        <w:t xml:space="preserve">Alves EG</w:t>
      </w:r>
      <w:r>
        <w:rPr>
          <w:b/>
        </w:rPr>
        <w:t xml:space="preserve">,</w:t>
      </w:r>
      <w:r>
        <w:rPr>
          <w:b/>
        </w:rPr>
        <w:t xml:space="preserve"> </w:t>
      </w:r>
      <w:r>
        <w:rPr>
          <w:b w:val="0"/>
          <w:b/>
        </w:rPr>
        <w:t xml:space="preserve">Oliveira RC de</w:t>
      </w:r>
      <w:r>
        <w:rPr>
          <w:b/>
        </w:rPr>
        <w:t xml:space="preserve">,</w:t>
      </w:r>
      <w:r>
        <w:rPr>
          <w:b/>
        </w:rPr>
        <w:t xml:space="preserve"> </w:t>
      </w:r>
      <w:r>
        <w:rPr>
          <w:b w:val="0"/>
          <w:b/>
        </w:rPr>
        <w:t xml:space="preserve">Saleska SR</w:t>
      </w:r>
      <w:r>
        <w:t xml:space="preserve">.</w:t>
      </w:r>
      <w:r>
        <w:t xml:space="preserve"> </w:t>
      </w:r>
      <w:r>
        <w:rPr>
          <w:b/>
        </w:rPr>
        <w:t xml:space="preserve">2021</w:t>
      </w:r>
      <w:r>
        <w:t xml:space="preserve">. A new field instrument for leaf volatiles reveals an unexpected vertical profile of isoprenoid emission capacities in a tropical forest.</w:t>
      </w:r>
      <w:r>
        <w:t xml:space="preserve"> </w:t>
      </w:r>
      <w:r>
        <w:rPr>
          <w:i/>
        </w:rPr>
        <w:t xml:space="preserve">bioRxiv</w:t>
      </w:r>
      <w:r>
        <w:t xml:space="preserve">: 2021.02.15.431157.</w:t>
      </w:r>
    </w:p>
    <w:bookmarkEnd w:id="226"/>
    <w:bookmarkStart w:id="227"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27"/>
    <w:bookmarkStart w:id="228"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28"/>
    <w:bookmarkStart w:id="229"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29"/>
    <w:bookmarkStart w:id="230"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30"/>
    <w:bookmarkStart w:id="231"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31"/>
    <w:bookmarkStart w:id="232"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32"/>
    <w:bookmarkStart w:id="233"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33"/>
    <w:bookmarkStart w:id="234"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34"/>
    <w:bookmarkStart w:id="235"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35"/>
    <w:bookmarkStart w:id="236"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236"/>
    <w:bookmarkStart w:id="237"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37"/>
    <w:bookmarkStart w:id="238"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38"/>
    <w:bookmarkStart w:id="239"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39"/>
    <w:bookmarkStart w:id="240"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40"/>
    <w:bookmarkStart w:id="241"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41"/>
    <w:bookmarkStart w:id="242"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42"/>
    <w:bookmarkStart w:id="243"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243"/>
    <w:bookmarkStart w:id="244"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44"/>
    <w:bookmarkStart w:id="245"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45"/>
    <w:bookmarkStart w:id="246"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46"/>
    <w:bookmarkStart w:id="247"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47"/>
    <w:bookmarkStart w:id="248"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48"/>
    <w:bookmarkStart w:id="249"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49"/>
    <w:bookmarkStart w:id="250"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50"/>
    <w:bookmarkStart w:id="251"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51"/>
    <w:bookmarkStart w:id="252"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52"/>
    <w:bookmarkStart w:id="253"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53"/>
    <w:bookmarkEnd w:id="254"/>
    <w:bookmarkEnd w:id="255"/>
    <w:bookmarkEnd w:id="2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4" Target="media/rId54.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23" Target="https://github.com/EcoClimLab/vertical-thermal-review/issues/27" TargetMode="External" /><Relationship Type="http://schemas.openxmlformats.org/officeDocument/2006/relationships/hyperlink" Id="rId46" Target="https://github.com/EcoClimLab/vertical-thermal-review/issues/29" TargetMode="External" /><Relationship Type="http://schemas.openxmlformats.org/officeDocument/2006/relationships/hyperlink" Id="rId55"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3" Target="https://github.com/EcoClimLab/vertical-thermal-review/issues/27" TargetMode="External" /><Relationship Type="http://schemas.openxmlformats.org/officeDocument/2006/relationships/hyperlink" Id="rId46" Target="https://github.com/EcoClimLab/vertical-thermal-review/issues/29" TargetMode="External" /><Relationship Type="http://schemas.openxmlformats.org/officeDocument/2006/relationships/hyperlink" Id="rId55"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2021-08-05T00:40:28Z</dcterms:created>
  <dcterms:modified xsi:type="dcterms:W3CDTF">2021-08-05T00:40:28Z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